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738D" w14:textId="77777777" w:rsidR="00AA44E7" w:rsidRDefault="00AA44E7">
      <w:pPr>
        <w:pStyle w:val="Corpotesto"/>
        <w:rPr>
          <w:rFonts w:ascii="Times New Roman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654"/>
      </w:tblGrid>
      <w:tr w:rsidR="00AA44E7" w:rsidRPr="00220AD2" w14:paraId="3E5C3B77" w14:textId="77777777" w:rsidTr="00220AD2">
        <w:trPr>
          <w:trHeight w:val="299"/>
        </w:trPr>
        <w:tc>
          <w:tcPr>
            <w:tcW w:w="1441" w:type="dxa"/>
            <w:tcBorders>
              <w:right w:val="dotted" w:sz="4" w:space="0" w:color="000000"/>
            </w:tcBorders>
          </w:tcPr>
          <w:p w14:paraId="7AA3B9D1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i/>
                <w:sz w:val="16"/>
                <w:lang w:val="it-IT"/>
              </w:rPr>
            </w:pPr>
            <w:r w:rsidRPr="00220AD2">
              <w:rPr>
                <w:i/>
                <w:sz w:val="16"/>
                <w:lang w:val="it-IT"/>
              </w:rPr>
              <w:t>N progr</w:t>
            </w:r>
          </w:p>
        </w:tc>
        <w:tc>
          <w:tcPr>
            <w:tcW w:w="7654" w:type="dxa"/>
            <w:tcBorders>
              <w:left w:val="dotted" w:sz="4" w:space="0" w:color="000000"/>
            </w:tcBorders>
          </w:tcPr>
          <w:p w14:paraId="761C7FB5" w14:textId="77777777" w:rsidR="00AA44E7" w:rsidRPr="00220AD2" w:rsidRDefault="008D268F" w:rsidP="00220AD2">
            <w:pPr>
              <w:pStyle w:val="TableParagraph"/>
              <w:ind w:left="142" w:right="279"/>
              <w:rPr>
                <w:i/>
                <w:sz w:val="16"/>
                <w:lang w:val="it-IT"/>
              </w:rPr>
            </w:pPr>
            <w:r w:rsidRPr="00220AD2">
              <w:rPr>
                <w:i/>
                <w:sz w:val="16"/>
                <w:lang w:val="it-IT"/>
              </w:rPr>
              <w:t>Descrizione del rischio</w:t>
            </w:r>
          </w:p>
        </w:tc>
      </w:tr>
    </w:tbl>
    <w:p w14:paraId="73620FAE" w14:textId="77777777" w:rsidR="00AA44E7" w:rsidRPr="00220AD2" w:rsidRDefault="00AA44E7" w:rsidP="00220AD2">
      <w:pPr>
        <w:pStyle w:val="Corpotesto"/>
        <w:spacing w:before="0"/>
        <w:ind w:left="142" w:right="279"/>
        <w:rPr>
          <w:rFonts w:ascii="Times New Roman"/>
          <w:sz w:val="23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670"/>
      </w:tblGrid>
      <w:tr w:rsidR="00AA44E7" w:rsidRPr="00220AD2" w14:paraId="66357AC3" w14:textId="77777777" w:rsidTr="00220AD2">
        <w:trPr>
          <w:trHeight w:val="486"/>
        </w:trPr>
        <w:tc>
          <w:tcPr>
            <w:tcW w:w="144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400830B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1</w:t>
            </w:r>
          </w:p>
        </w:tc>
        <w:tc>
          <w:tcPr>
            <w:tcW w:w="7670" w:type="dxa"/>
            <w:tcBorders>
              <w:left w:val="dotted" w:sz="4" w:space="0" w:color="000000"/>
              <w:bottom w:val="dotted" w:sz="4" w:space="0" w:color="000000"/>
            </w:tcBorders>
          </w:tcPr>
          <w:p w14:paraId="72B00825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Mancanza del rispetto dei requisiti minimi previsti dalla normativa nazionale</w:t>
            </w:r>
          </w:p>
        </w:tc>
      </w:tr>
      <w:tr w:rsidR="00AA44E7" w:rsidRPr="00220AD2" w14:paraId="3A6EFCDE" w14:textId="77777777" w:rsidTr="00220AD2">
        <w:trPr>
          <w:trHeight w:val="489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B3667B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2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96F35C7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Individuazione delle priorità sulla base di requisiti di accesso “personalizzati”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e non di esigenze oggettive</w:t>
            </w:r>
          </w:p>
        </w:tc>
      </w:tr>
      <w:tr w:rsidR="00AA44E7" w:rsidRPr="00220AD2" w14:paraId="5180A1BC" w14:textId="77777777" w:rsidTr="00220AD2">
        <w:trPr>
          <w:trHeight w:val="486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E7A7F0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822937B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Procedere al reclutamento per figure particolari</w:t>
            </w:r>
          </w:p>
        </w:tc>
      </w:tr>
      <w:tr w:rsidR="00AA44E7" w:rsidRPr="00220AD2" w14:paraId="0B69B3E9" w14:textId="77777777" w:rsidTr="00220AD2">
        <w:trPr>
          <w:trHeight w:val="976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C99126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4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5D22F34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Previsioni di requisiti di accesso “personalizzati” ed insufficienza di meccanismi oggettivi e trasparenti idonei a verificare il possesso dei requisiti attitudinali e professionali richiesti in relazione alla posizione da ricoprire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allo scopo di reclutare candidati particolari.</w:t>
            </w:r>
          </w:p>
        </w:tc>
      </w:tr>
      <w:tr w:rsidR="00AA44E7" w:rsidRPr="00220AD2" w14:paraId="31B4F010" w14:textId="77777777" w:rsidTr="00220AD2">
        <w:trPr>
          <w:trHeight w:val="486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7B933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5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BF8C547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Irregolare composizione della commissione di concorso finalizzata al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reclutamento di candidati particolari.</w:t>
            </w:r>
          </w:p>
        </w:tc>
      </w:tr>
      <w:tr w:rsidR="00AA44E7" w:rsidRPr="00220AD2" w14:paraId="280B420A" w14:textId="77777777" w:rsidTr="00220AD2">
        <w:trPr>
          <w:trHeight w:val="512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6A634B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6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D6FE0AD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Valutazioni soggettive. Consentire integrazioni di dichiarazioni e documenti alla domanda di partecipazione, non consentite, al fine di favorire candidati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particolari.</w:t>
            </w:r>
          </w:p>
        </w:tc>
      </w:tr>
      <w:tr w:rsidR="00AA44E7" w:rsidRPr="00220AD2" w14:paraId="2B7CD70D" w14:textId="77777777" w:rsidTr="00220AD2">
        <w:trPr>
          <w:trHeight w:val="486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F13068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7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9DAD728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Inosservanza delle regole procedurali nella predisposizione delle prove ed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elusione della cogenza della regola dell’anonimato per la prova scritta</w:t>
            </w:r>
          </w:p>
        </w:tc>
      </w:tr>
      <w:tr w:rsidR="00AA44E7" w:rsidRPr="00220AD2" w14:paraId="7A5EC7E2" w14:textId="77777777" w:rsidTr="00220AD2">
        <w:trPr>
          <w:trHeight w:val="489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52C611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8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5856ACB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Artificiosa determinazione dei criteri di valutazione delle prove allo scopo di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reclutare candidati particolari</w:t>
            </w:r>
          </w:p>
        </w:tc>
      </w:tr>
      <w:tr w:rsidR="00AA44E7" w:rsidRPr="00220AD2" w14:paraId="5BCD5215" w14:textId="77777777" w:rsidTr="00220AD2">
        <w:trPr>
          <w:trHeight w:val="338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2716A6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w w:val="99"/>
                <w:sz w:val="20"/>
                <w:lang w:val="it-IT"/>
              </w:rPr>
              <w:t>9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39CA75B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Individuazione criteri ad personam (per favorire gli iscritti)</w:t>
            </w:r>
          </w:p>
        </w:tc>
      </w:tr>
      <w:tr w:rsidR="00AA44E7" w:rsidRPr="00220AD2" w14:paraId="304DE92F" w14:textId="77777777" w:rsidTr="00220AD2">
        <w:trPr>
          <w:trHeight w:val="340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2CB90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10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7D84EA5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Inosservanza delle regole procedurali</w:t>
            </w:r>
          </w:p>
        </w:tc>
      </w:tr>
      <w:tr w:rsidR="00AA44E7" w:rsidRPr="00220AD2" w14:paraId="1BCC8AE3" w14:textId="77777777" w:rsidTr="00220AD2">
        <w:trPr>
          <w:trHeight w:val="275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F7705D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11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A9E73C8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Inosservanza delle regole procedurali a garanzia della trasparenza e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dell’imparzialità</w:t>
            </w:r>
          </w:p>
        </w:tc>
      </w:tr>
      <w:tr w:rsidR="00AA44E7" w:rsidRPr="00220AD2" w14:paraId="2DA35B8B" w14:textId="77777777" w:rsidTr="00220AD2">
        <w:trPr>
          <w:trHeight w:val="489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F8E808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12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7EA2BE9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Irregolarità dolose o colpose nelle procedure, al fine di favorire o sfavorire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determinati soggetti</w:t>
            </w:r>
          </w:p>
        </w:tc>
      </w:tr>
      <w:tr w:rsidR="00AA44E7" w:rsidRPr="00220AD2" w14:paraId="51B1D79A" w14:textId="77777777" w:rsidTr="00220AD2">
        <w:trPr>
          <w:trHeight w:val="489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FBAB6D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13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7EC5CD3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Progressioni di carriera accordate illegittimamente allo scopo di agevolare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dipendenti/candidati particolari</w:t>
            </w:r>
          </w:p>
        </w:tc>
      </w:tr>
      <w:tr w:rsidR="00AA44E7" w:rsidRPr="00220AD2" w14:paraId="6DBD3F2F" w14:textId="77777777" w:rsidTr="00220AD2">
        <w:trPr>
          <w:trHeight w:val="486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A91DB1" w14:textId="77777777" w:rsidR="00AA44E7" w:rsidRPr="00220AD2" w:rsidRDefault="008D268F" w:rsidP="00220AD2">
            <w:pPr>
              <w:pStyle w:val="TableParagraph"/>
              <w:ind w:left="142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14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8E4D49C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Definizione di opera non rispondente a criteri di efficienza/efficacia/economicità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ma alla volontà di premiare interessi particolari</w:t>
            </w:r>
          </w:p>
        </w:tc>
      </w:tr>
      <w:tr w:rsidR="00AA44E7" w:rsidRPr="00220AD2" w14:paraId="1B607DDB" w14:textId="77777777" w:rsidTr="00220AD2">
        <w:trPr>
          <w:trHeight w:val="324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DD81A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15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9C811D2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Intempestiva predisposizione ed approvazione degli strumenti di programmazione</w:t>
            </w:r>
          </w:p>
        </w:tc>
      </w:tr>
      <w:tr w:rsidR="00AA44E7" w:rsidRPr="00220AD2" w14:paraId="5E832BCC" w14:textId="77777777" w:rsidTr="00220AD2">
        <w:trPr>
          <w:trHeight w:val="489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C908DB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16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E65B2A5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Scelta di particolari tipologie di contratto (es. appalto integrato,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concessione, leasing ecc.) al fine di favorire un concorrente</w:t>
            </w:r>
          </w:p>
        </w:tc>
      </w:tr>
      <w:tr w:rsidR="00AA44E7" w:rsidRPr="00220AD2" w14:paraId="6B4E7FD7" w14:textId="77777777" w:rsidTr="00220AD2">
        <w:trPr>
          <w:trHeight w:val="489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34125D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17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DB17126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Artificioso frazionamento di appalti per far rientrare gli importi di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affidamento entro i limiti stabiliti per il ricorso alla procedura negoziata</w:t>
            </w:r>
          </w:p>
        </w:tc>
      </w:tr>
      <w:tr w:rsidR="00AA44E7" w:rsidRPr="00220AD2" w14:paraId="1E4D4B95" w14:textId="77777777" w:rsidTr="00220AD2">
        <w:trPr>
          <w:trHeight w:val="273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8B4E6C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18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44C4DB1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Ricorso all'istituto al fine di al fine di favorire un soggetto predeterminato</w:t>
            </w:r>
          </w:p>
        </w:tc>
      </w:tr>
      <w:tr w:rsidR="00AA44E7" w:rsidRPr="00220AD2" w14:paraId="2F0B649B" w14:textId="77777777" w:rsidTr="00220AD2">
        <w:trPr>
          <w:trHeight w:val="262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594329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19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9723FED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Affidamento ripetuto al medesimo soggetto</w:t>
            </w:r>
          </w:p>
        </w:tc>
      </w:tr>
      <w:tr w:rsidR="00AA44E7" w:rsidRPr="00220AD2" w14:paraId="621C8AB2" w14:textId="77777777" w:rsidTr="00220AD2">
        <w:trPr>
          <w:trHeight w:val="486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1F4B60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20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9B7D23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Definizione di particolari requisiti di qualificazione al fine di favorire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un’impresa o escluderne altre</w:t>
            </w:r>
          </w:p>
        </w:tc>
      </w:tr>
      <w:tr w:rsidR="00AA44E7" w:rsidRPr="00220AD2" w14:paraId="085AEC31" w14:textId="77777777" w:rsidTr="00220AD2">
        <w:trPr>
          <w:trHeight w:val="234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01A67A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21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5C9206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Accordi collusivi tra le imprese volti a manipolare gli esiti di una gara</w:t>
            </w:r>
          </w:p>
        </w:tc>
      </w:tr>
      <w:tr w:rsidR="00AA44E7" w:rsidRPr="00220AD2" w14:paraId="0BD4F22A" w14:textId="77777777" w:rsidTr="00220AD2">
        <w:trPr>
          <w:trHeight w:val="253"/>
        </w:trPr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3B885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22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C6A79F2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Componente della commissione di gara colluso con concorrente</w:t>
            </w:r>
          </w:p>
        </w:tc>
      </w:tr>
      <w:tr w:rsidR="00AA44E7" w:rsidRPr="00220AD2" w14:paraId="6E64192A" w14:textId="77777777" w:rsidTr="00220AD2">
        <w:trPr>
          <w:trHeight w:val="284"/>
        </w:trPr>
        <w:tc>
          <w:tcPr>
            <w:tcW w:w="1443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35AE00C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23</w:t>
            </w:r>
          </w:p>
        </w:tc>
        <w:tc>
          <w:tcPr>
            <w:tcW w:w="767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5051D4F8" w14:textId="77777777" w:rsidR="00AA44E7" w:rsidRPr="00220AD2" w:rsidRDefault="008D268F" w:rsidP="00220AD2">
            <w:pPr>
              <w:pStyle w:val="TableParagraph"/>
              <w:ind w:left="142" w:right="279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Discrezionalità tecnica utilizzata per favorire un soggetto predeterminato</w:t>
            </w:r>
          </w:p>
        </w:tc>
      </w:tr>
      <w:tr w:rsidR="00AA44E7" w:rsidRPr="00220AD2" w14:paraId="511170B0" w14:textId="77777777" w:rsidTr="00220AD2">
        <w:trPr>
          <w:trHeight w:val="486"/>
        </w:trPr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64FC1" w14:textId="77777777" w:rsidR="00AA44E7" w:rsidRPr="00220AD2" w:rsidRDefault="008D268F" w:rsidP="00220AD2">
            <w:pPr>
              <w:pStyle w:val="TableParagraph"/>
              <w:ind w:left="164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24</w:t>
            </w:r>
          </w:p>
        </w:tc>
        <w:tc>
          <w:tcPr>
            <w:tcW w:w="7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CE5D62" w14:textId="77777777" w:rsidR="00AA44E7" w:rsidRPr="00220AD2" w:rsidRDefault="008D268F" w:rsidP="00220AD2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Bloccare una gara il cui risultato si sia rivelato diverso da quello atteso per</w:t>
            </w:r>
          </w:p>
          <w:p w14:paraId="58E129E7" w14:textId="77777777" w:rsidR="00AA44E7" w:rsidRPr="00220AD2" w:rsidRDefault="008D268F" w:rsidP="00220AD2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concedere un indennizzo all’aggiudicatario</w:t>
            </w:r>
          </w:p>
        </w:tc>
      </w:tr>
      <w:tr w:rsidR="00220AD2" w:rsidRPr="00220AD2" w14:paraId="752CF152" w14:textId="77777777" w:rsidTr="00220AD2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33"/>
        </w:trPr>
        <w:tc>
          <w:tcPr>
            <w:tcW w:w="1443" w:type="dxa"/>
            <w:tcBorders>
              <w:top w:val="dotted" w:sz="4" w:space="0" w:color="auto"/>
              <w:left w:val="single" w:sz="4" w:space="0" w:color="000000"/>
            </w:tcBorders>
          </w:tcPr>
          <w:p w14:paraId="251CEDC0" w14:textId="77777777" w:rsidR="00220AD2" w:rsidRPr="00220AD2" w:rsidRDefault="00220AD2" w:rsidP="00220AD2">
            <w:pPr>
              <w:pStyle w:val="TableParagraph"/>
              <w:keepLines/>
              <w:widowControl/>
              <w:ind w:left="164" w:right="278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25</w:t>
            </w:r>
          </w:p>
        </w:tc>
        <w:tc>
          <w:tcPr>
            <w:tcW w:w="7670" w:type="dxa"/>
            <w:tcBorders>
              <w:top w:val="dotted" w:sz="4" w:space="0" w:color="auto"/>
              <w:right w:val="single" w:sz="4" w:space="0" w:color="000000"/>
            </w:tcBorders>
          </w:tcPr>
          <w:p w14:paraId="61D9A21C" w14:textId="77777777" w:rsidR="00220AD2" w:rsidRPr="00220AD2" w:rsidRDefault="00220AD2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Subappalto quale modalità di distribuzione di vantaggi per effetto di accordo collusivo intervenuto in precedenza fra i partecipanti alla gara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dell'appalto principale</w:t>
            </w:r>
          </w:p>
        </w:tc>
      </w:tr>
      <w:tr w:rsidR="00220AD2" w:rsidRPr="00220AD2" w14:paraId="5E3F4025" w14:textId="77777777" w:rsidTr="00220AD2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360"/>
        </w:trPr>
        <w:tc>
          <w:tcPr>
            <w:tcW w:w="1443" w:type="dxa"/>
            <w:tcBorders>
              <w:left w:val="single" w:sz="4" w:space="0" w:color="000000"/>
            </w:tcBorders>
          </w:tcPr>
          <w:p w14:paraId="5832DF3B" w14:textId="77777777" w:rsidR="00220AD2" w:rsidRPr="00220AD2" w:rsidRDefault="00220AD2" w:rsidP="00220AD2">
            <w:pPr>
              <w:pStyle w:val="TableParagraph"/>
              <w:keepLines/>
              <w:widowControl/>
              <w:ind w:left="164" w:right="278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26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32AAD1CC" w14:textId="77777777" w:rsidR="00220AD2" w:rsidRPr="00220AD2" w:rsidRDefault="00220AD2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Non corretta classificazione della variante al fine di permetterne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l'approvazione</w:t>
            </w:r>
          </w:p>
        </w:tc>
      </w:tr>
      <w:tr w:rsidR="00220AD2" w:rsidRPr="00220AD2" w14:paraId="1B851D3C" w14:textId="77777777" w:rsidTr="00220AD2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22"/>
        </w:trPr>
        <w:tc>
          <w:tcPr>
            <w:tcW w:w="1443" w:type="dxa"/>
            <w:tcBorders>
              <w:left w:val="single" w:sz="4" w:space="0" w:color="000000"/>
            </w:tcBorders>
          </w:tcPr>
          <w:p w14:paraId="3B8CBEC2" w14:textId="77777777" w:rsidR="00220AD2" w:rsidRPr="00220AD2" w:rsidRDefault="00220AD2" w:rsidP="00220AD2">
            <w:pPr>
              <w:pStyle w:val="TableParagraph"/>
              <w:keepLines/>
              <w:widowControl/>
              <w:ind w:left="164" w:right="278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27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217EE0DC" w14:textId="77777777" w:rsidR="00220AD2" w:rsidRPr="00220AD2" w:rsidRDefault="00220AD2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 rilevazione di errore progettuale</w:t>
            </w:r>
          </w:p>
        </w:tc>
      </w:tr>
      <w:tr w:rsidR="00220AD2" w:rsidRPr="00220AD2" w14:paraId="0EB2B4DB" w14:textId="77777777" w:rsidTr="00522A9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</w:tcPr>
          <w:p w14:paraId="5CBF3AF2" w14:textId="77777777" w:rsidR="00220AD2" w:rsidRPr="00220AD2" w:rsidRDefault="00220AD2" w:rsidP="00220AD2">
            <w:pPr>
              <w:pStyle w:val="TableParagraph"/>
              <w:keepLines/>
              <w:widowControl/>
              <w:ind w:left="164" w:right="278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28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2F453FF0" w14:textId="77777777" w:rsidR="00220AD2" w:rsidRPr="00220AD2" w:rsidRDefault="00220AD2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Ottenimento da parte dell’affidatario di vantaggi ingiusti</w:t>
            </w:r>
          </w:p>
        </w:tc>
      </w:tr>
    </w:tbl>
    <w:p w14:paraId="78D0E0CA" w14:textId="77777777" w:rsidR="00AA44E7" w:rsidRPr="00220AD2" w:rsidRDefault="00AA44E7" w:rsidP="00220AD2">
      <w:pPr>
        <w:keepLines/>
        <w:widowControl/>
        <w:ind w:right="278"/>
        <w:rPr>
          <w:sz w:val="20"/>
          <w:lang w:val="it-IT"/>
        </w:rPr>
        <w:sectPr w:rsidR="00AA44E7" w:rsidRPr="00220AD2" w:rsidSect="00220AD2">
          <w:headerReference w:type="default" r:id="rId6"/>
          <w:footerReference w:type="default" r:id="rId7"/>
          <w:type w:val="continuous"/>
          <w:pgSz w:w="11910" w:h="16840"/>
          <w:pgMar w:top="1660" w:right="853" w:bottom="900" w:left="1280" w:header="748" w:footer="713" w:gutter="0"/>
          <w:pgNumType w:start="1"/>
          <w:cols w:space="720"/>
        </w:sectPr>
      </w:pPr>
    </w:p>
    <w:p w14:paraId="004C9E2C" w14:textId="77777777" w:rsidR="00AA44E7" w:rsidRPr="00220AD2" w:rsidRDefault="00AA44E7" w:rsidP="00220AD2">
      <w:pPr>
        <w:pStyle w:val="Corpotesto"/>
        <w:keepLines/>
        <w:widowControl/>
        <w:spacing w:before="0"/>
        <w:ind w:right="278"/>
        <w:rPr>
          <w:rFonts w:ascii="Times New Roman"/>
          <w:sz w:val="2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670"/>
      </w:tblGrid>
      <w:tr w:rsidR="00AA44E7" w:rsidRPr="00220AD2" w14:paraId="7528B1D2" w14:textId="77777777" w:rsidTr="00220AD2">
        <w:trPr>
          <w:trHeight w:val="392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165CA9F8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29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7BF15A78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Concessione all’affidatario di vantaggi ingiusti</w:t>
            </w:r>
          </w:p>
        </w:tc>
      </w:tr>
      <w:tr w:rsidR="00AA44E7" w:rsidRPr="00220AD2" w14:paraId="63BE51D3" w14:textId="77777777" w:rsidTr="00220AD2">
        <w:trPr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353ABDDA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30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299211B7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Abusi/Irregolarità nella vigilanza e contabilizzazione dei lavori per favorire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l'impresa esecutrice</w:t>
            </w:r>
          </w:p>
        </w:tc>
      </w:tr>
      <w:tr w:rsidR="00AA44E7" w:rsidRPr="00220AD2" w14:paraId="35538191" w14:textId="77777777" w:rsidTr="00220AD2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1755FC46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31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58BBBD21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Discrezionalità interpretativa della normativa vigente in materia di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“urgenza” nell’ambito dei lavori pubblici</w:t>
            </w:r>
          </w:p>
        </w:tc>
      </w:tr>
      <w:tr w:rsidR="00AA44E7" w:rsidRPr="00220AD2" w14:paraId="7F7D6635" w14:textId="77777777" w:rsidTr="00220AD2">
        <w:trPr>
          <w:trHeight w:val="553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F9E64B3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32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5A8A1CBD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Violazione degli atti di pianificazione o programmazione di settore allo scopo di consentire il rilascio dell’autorizzazione a richiedenti particolari che non ne</w:t>
            </w:r>
            <w:r w:rsidR="00220AD2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avrebbero titolo</w:t>
            </w:r>
          </w:p>
        </w:tc>
      </w:tr>
      <w:tr w:rsidR="00AA44E7" w:rsidRPr="00220AD2" w14:paraId="0DD42B15" w14:textId="77777777" w:rsidTr="00DF56DF">
        <w:trPr>
          <w:trHeight w:val="418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08C70082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33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556B3B70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Dichiarazioni mendaci ovvero uso di falsa documentazione</w:t>
            </w:r>
          </w:p>
        </w:tc>
      </w:tr>
      <w:tr w:rsidR="00AA44E7" w:rsidRPr="00220AD2" w14:paraId="73EEE061" w14:textId="77777777" w:rsidTr="00220AD2">
        <w:trPr>
          <w:trHeight w:val="731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1F856D9E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34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5CCB0796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Violazione delle regole procedurali disciplinanti le autorizzazione di pubblica sicurezza allo scopo di consentire il rilascio dell’autorizzazione a richiedenti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particolari che non ne avrebbero titolo</w:t>
            </w:r>
          </w:p>
        </w:tc>
      </w:tr>
      <w:tr w:rsidR="00AA44E7" w:rsidRPr="00220AD2" w14:paraId="758D6319" w14:textId="77777777" w:rsidTr="00DF56DF">
        <w:trPr>
          <w:trHeight w:val="378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E22CFBE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35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08887216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Indebita concessione per favorire un particolare soggetto</w:t>
            </w:r>
          </w:p>
        </w:tc>
      </w:tr>
      <w:tr w:rsidR="00AA44E7" w:rsidRPr="00220AD2" w14:paraId="11EA4995" w14:textId="77777777" w:rsidTr="00DF56DF">
        <w:trPr>
          <w:trHeight w:val="285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C1F9D42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36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73E0CB75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Dichiarazioni ISEE mendaci</w:t>
            </w:r>
          </w:p>
        </w:tc>
      </w:tr>
      <w:tr w:rsidR="00AA44E7" w:rsidRPr="00220AD2" w14:paraId="2068DF35" w14:textId="77777777" w:rsidTr="00DF56DF">
        <w:trPr>
          <w:trHeight w:val="260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4159931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37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2BA2D241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Omessa registrazione credito nei confronti di contribuente</w:t>
            </w:r>
          </w:p>
        </w:tc>
      </w:tr>
      <w:tr w:rsidR="00AA44E7" w:rsidRPr="00220AD2" w14:paraId="4806DCDC" w14:textId="77777777" w:rsidTr="00DF56DF">
        <w:trPr>
          <w:trHeight w:val="27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247B4B1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38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43EBCC3B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Omessa registrazione credito nei confronti di fruitore di un servizio</w:t>
            </w:r>
          </w:p>
        </w:tc>
      </w:tr>
      <w:tr w:rsidR="00AA44E7" w:rsidRPr="00220AD2" w14:paraId="35611825" w14:textId="77777777" w:rsidTr="00DF56DF">
        <w:trPr>
          <w:trHeight w:val="268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A53AD34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39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07287019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Indebita cancellazione di crediti</w:t>
            </w:r>
          </w:p>
        </w:tc>
      </w:tr>
      <w:tr w:rsidR="00AA44E7" w:rsidRPr="00220AD2" w14:paraId="29801436" w14:textId="77777777" w:rsidTr="00DF56DF">
        <w:trPr>
          <w:trHeight w:val="273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8E80B98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40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2911C35A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Valutazione sociale non oggettiva</w:t>
            </w:r>
          </w:p>
        </w:tc>
      </w:tr>
      <w:tr w:rsidR="00AA44E7" w:rsidRPr="00220AD2" w14:paraId="626A42BD" w14:textId="77777777" w:rsidTr="00220AD2">
        <w:trPr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31941E28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41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1A55A366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Omessa attivazione procedure di riscossione coattiva o errata indicazione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dell’importo da riscuotere</w:t>
            </w:r>
          </w:p>
        </w:tc>
      </w:tr>
      <w:tr w:rsidR="00AA44E7" w:rsidRPr="00220AD2" w14:paraId="311E166B" w14:textId="77777777" w:rsidTr="00DF56DF">
        <w:trPr>
          <w:trHeight w:val="198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18F3FD4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42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0F906277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Sovradimensionamento della spesa o della prestazione</w:t>
            </w:r>
          </w:p>
        </w:tc>
      </w:tr>
      <w:tr w:rsidR="00AA44E7" w:rsidRPr="00220AD2" w14:paraId="512CEFE2" w14:textId="77777777" w:rsidTr="00220AD2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A4EE0A2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43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6F0C97EA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 corrispondenza fra il creditore liquidato e il destinatario del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provvedimento di impegno</w:t>
            </w:r>
          </w:p>
        </w:tc>
      </w:tr>
      <w:tr w:rsidR="00AA44E7" w:rsidRPr="00220AD2" w14:paraId="5EB56297" w14:textId="77777777" w:rsidTr="00DF56DF">
        <w:trPr>
          <w:trHeight w:val="295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3FB7EF4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44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224225EB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Falsa attestazione della avvenuta corretta effettuazione della prestazione</w:t>
            </w:r>
          </w:p>
        </w:tc>
      </w:tr>
      <w:tr w:rsidR="00AA44E7" w:rsidRPr="00220AD2" w14:paraId="6828C129" w14:textId="77777777" w:rsidTr="00220AD2">
        <w:trPr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F9419DD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45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1FB1196A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Mancato rispetto dei tempi di pagamento per indurre il destinatario</w:t>
            </w:r>
            <w:r w:rsidRPr="00D83954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del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pagamento ad azioni illecite volte a sbloccare o accelerare il</w:t>
            </w:r>
            <w:r w:rsidRPr="00D83954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pagamento</w:t>
            </w:r>
          </w:p>
        </w:tc>
      </w:tr>
      <w:tr w:rsidR="00AA44E7" w:rsidRPr="00220AD2" w14:paraId="327E2E9E" w14:textId="77777777" w:rsidTr="00DF56DF">
        <w:trPr>
          <w:trHeight w:val="348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E8730EF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46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236D485F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 corrispondenza con i dati indicati nel provvedimento di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liquidazione</w:t>
            </w:r>
          </w:p>
        </w:tc>
      </w:tr>
      <w:tr w:rsidR="00AA44E7" w:rsidRPr="00220AD2" w14:paraId="5AEEF8C7" w14:textId="77777777" w:rsidTr="00DF56DF">
        <w:trPr>
          <w:trHeight w:val="567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DCF2F87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47</w:t>
            </w:r>
          </w:p>
        </w:tc>
        <w:tc>
          <w:tcPr>
            <w:tcW w:w="7670" w:type="dxa"/>
            <w:tcBorders>
              <w:right w:val="single" w:sz="4" w:space="0" w:color="000000"/>
            </w:tcBorders>
          </w:tcPr>
          <w:p w14:paraId="005F1681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Mancato controllo relativo alla regolarità della prestazione da parte del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funzionario competente alla liquidazione per favorire soggetti predeterminati</w:t>
            </w:r>
          </w:p>
        </w:tc>
      </w:tr>
      <w:tr w:rsidR="00AA44E7" w:rsidRPr="00220AD2" w14:paraId="54B485C4" w14:textId="77777777" w:rsidTr="00DF56DF">
        <w:trPr>
          <w:trHeight w:val="263"/>
        </w:trPr>
        <w:tc>
          <w:tcPr>
            <w:tcW w:w="1443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1CCAC0B0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48</w:t>
            </w:r>
          </w:p>
        </w:tc>
        <w:tc>
          <w:tcPr>
            <w:tcW w:w="7670" w:type="dxa"/>
            <w:tcBorders>
              <w:bottom w:val="dotted" w:sz="4" w:space="0" w:color="000000"/>
              <w:right w:val="single" w:sz="4" w:space="0" w:color="000000"/>
            </w:tcBorders>
          </w:tcPr>
          <w:p w14:paraId="294EF25C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Valutazione del bene sottostimata per favorire un particolare acquirente</w:t>
            </w:r>
          </w:p>
        </w:tc>
      </w:tr>
      <w:tr w:rsidR="00AA44E7" w:rsidRPr="00220AD2" w14:paraId="547A01A2" w14:textId="77777777" w:rsidTr="00DF56DF">
        <w:trPr>
          <w:trHeight w:val="486"/>
        </w:trPr>
        <w:tc>
          <w:tcPr>
            <w:tcW w:w="1443" w:type="dxa"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14:paraId="2C7CA1F2" w14:textId="77777777" w:rsidR="00AA44E7" w:rsidRPr="00220AD2" w:rsidRDefault="008D268F" w:rsidP="00220AD2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49</w:t>
            </w:r>
          </w:p>
        </w:tc>
        <w:tc>
          <w:tcPr>
            <w:tcW w:w="7670" w:type="dxa"/>
            <w:tcBorders>
              <w:left w:val="dotted" w:sz="4" w:space="0" w:color="000000"/>
              <w:right w:val="single" w:sz="4" w:space="0" w:color="000000"/>
            </w:tcBorders>
            <w:vAlign w:val="center"/>
          </w:tcPr>
          <w:p w14:paraId="445D906A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Valutazione sottostimata del canone di concessione/locazione</w:t>
            </w:r>
          </w:p>
        </w:tc>
      </w:tr>
      <w:tr w:rsidR="00DF56DF" w:rsidRPr="00220AD2" w14:paraId="57EF3457" w14:textId="77777777" w:rsidTr="00DF56DF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79D767F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50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1ED7CD64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Sovrastima del valore degli interventi da realizzare a scomputo</w:t>
            </w:r>
          </w:p>
        </w:tc>
      </w:tr>
      <w:tr w:rsidR="00DF56DF" w:rsidRPr="00220AD2" w14:paraId="2B6C36DA" w14:textId="77777777" w:rsidTr="00DF56DF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0EB7E498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51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3FC95FC7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Sottrazione opere</w:t>
            </w:r>
          </w:p>
        </w:tc>
      </w:tr>
      <w:tr w:rsidR="00DF56DF" w:rsidRPr="00220AD2" w14:paraId="78D6FC25" w14:textId="77777777" w:rsidTr="00DF56DF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1810FB3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52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7F44434E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Omessa registrazione prestiti</w:t>
            </w:r>
          </w:p>
        </w:tc>
      </w:tr>
      <w:tr w:rsidR="00DF56DF" w:rsidRPr="00220AD2" w14:paraId="57FBDC3C" w14:textId="77777777" w:rsidTr="00DF56DF">
        <w:trPr>
          <w:trHeight w:val="551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A941E89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53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4F645ACA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Inosservanza delle regole procedurali per i controlli nei termini sulle SCIA allo scopo di non far rilevare la mancanza dei requisiti e presupposti per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l'esercizio delle attività</w:t>
            </w:r>
          </w:p>
        </w:tc>
      </w:tr>
      <w:tr w:rsidR="00DF56DF" w:rsidRPr="00220AD2" w14:paraId="4C59E785" w14:textId="77777777" w:rsidTr="00DF56DF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43CD65D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54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5CF8B58E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Disparità di trattamento nell’individuazione dei soggetti da controllare</w:t>
            </w:r>
          </w:p>
        </w:tc>
      </w:tr>
      <w:tr w:rsidR="00DF56DF" w:rsidRPr="00220AD2" w14:paraId="28F01D85" w14:textId="77777777" w:rsidTr="00DF56DF">
        <w:trPr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3013B87A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55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7F98EE04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Disomogeneità delle valutazioni e dei controlli con omissione di atti di ufficio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al fine di favorire soggetti predeterminati.</w:t>
            </w:r>
            <w:r>
              <w:rPr>
                <w:sz w:val="20"/>
                <w:lang w:val="it-IT"/>
              </w:rPr>
              <w:t xml:space="preserve"> </w:t>
            </w:r>
          </w:p>
        </w:tc>
      </w:tr>
      <w:tr w:rsidR="00DF56DF" w:rsidRPr="00220AD2" w14:paraId="58B6BF64" w14:textId="77777777" w:rsidTr="00DF56DF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1EA939C8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56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5D1A658D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Mancato rispetto dei termini di notifica</w:t>
            </w:r>
          </w:p>
        </w:tc>
      </w:tr>
      <w:tr w:rsidR="00DF56DF" w:rsidRPr="00220AD2" w14:paraId="2C43EC4E" w14:textId="77777777" w:rsidTr="00DF56DF">
        <w:trPr>
          <w:trHeight w:val="494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5D9521E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57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2D302D3B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Motivazione generica e tautologica circa la sussistenza dei presupposti di legge per il conferimento di incarichi professionali allo scopo di agevolare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soggetti particolari</w:t>
            </w:r>
          </w:p>
        </w:tc>
      </w:tr>
      <w:tr w:rsidR="00DF56DF" w:rsidRPr="00220AD2" w14:paraId="73FCCDDC" w14:textId="77777777" w:rsidTr="00DF56DF">
        <w:trPr>
          <w:trHeight w:val="6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4CD24D5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58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0D0AD793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Previsioni di requisiti di accesso “personalizzati” ed insufficienza di meccanismi oggettivi e trasparenti idonei a verificare il possesso dei requisiti attitudinali e professionali richiesti in relazione alla posizione da ricoprire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allo scopo di reclutare candidati particolari</w:t>
            </w:r>
          </w:p>
        </w:tc>
      </w:tr>
    </w:tbl>
    <w:p w14:paraId="44725840" w14:textId="77777777" w:rsidR="00AA44E7" w:rsidRPr="00220AD2" w:rsidRDefault="00AA44E7" w:rsidP="00220AD2">
      <w:pPr>
        <w:ind w:right="279"/>
        <w:rPr>
          <w:sz w:val="20"/>
          <w:lang w:val="it-IT"/>
        </w:rPr>
        <w:sectPr w:rsidR="00AA44E7" w:rsidRPr="00220AD2" w:rsidSect="00220AD2">
          <w:pgSz w:w="11910" w:h="16840"/>
          <w:pgMar w:top="1660" w:right="853" w:bottom="900" w:left="1280" w:header="748" w:footer="713" w:gutter="0"/>
          <w:cols w:space="720"/>
        </w:sectPr>
      </w:pPr>
    </w:p>
    <w:p w14:paraId="71B0554E" w14:textId="77777777" w:rsidR="00AA44E7" w:rsidRPr="00220AD2" w:rsidRDefault="00AA44E7" w:rsidP="00220AD2">
      <w:pPr>
        <w:pStyle w:val="Corpotesto"/>
        <w:spacing w:before="0"/>
        <w:ind w:right="279"/>
        <w:rPr>
          <w:rFonts w:ascii="Times New Roman"/>
          <w:sz w:val="2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670"/>
        <w:gridCol w:w="126"/>
      </w:tblGrid>
      <w:tr w:rsidR="00AA44E7" w:rsidRPr="00D83954" w14:paraId="2C014B43" w14:textId="77777777" w:rsidTr="00DF56DF">
        <w:trPr>
          <w:gridAfter w:val="1"/>
          <w:wAfter w:w="126" w:type="dxa"/>
          <w:trHeight w:val="731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14C58B2C" w14:textId="77777777" w:rsidR="00AA44E7" w:rsidRPr="00220AD2" w:rsidRDefault="008D268F" w:rsidP="00DF56DF">
            <w:pPr>
              <w:pStyle w:val="TableParagraph"/>
              <w:ind w:left="-12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59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7978D7F2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Insufficienza di meccanismi oggettivi e trasparenti idonei a verificare il possesso dei requisiti attitudinali e professionali richiesti in relazione alla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posizione da ricoprire allo scopo di reclutare candidati particolari</w:t>
            </w:r>
          </w:p>
        </w:tc>
      </w:tr>
      <w:tr w:rsidR="00AA44E7" w:rsidRPr="00D83954" w14:paraId="04CB553D" w14:textId="77777777" w:rsidTr="00DF56DF">
        <w:trPr>
          <w:gridAfter w:val="1"/>
          <w:wAfter w:w="126" w:type="dxa"/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8B115FE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60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4CA58425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Incongruenza tra requisiti richiesti e prestazione oggetto dell'incarico</w:t>
            </w:r>
          </w:p>
        </w:tc>
      </w:tr>
      <w:tr w:rsidR="00AA44E7" w:rsidRPr="00D83954" w14:paraId="10254F0F" w14:textId="77777777" w:rsidTr="00DF56DF">
        <w:trPr>
          <w:gridAfter w:val="1"/>
          <w:wAfter w:w="126" w:type="dxa"/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0791B7D1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61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7C45784E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Affidamento dell’incarico di P.O. in violazione delle disposizioni in materia di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inconferibilità e incompatibilità ai sensi del D. Lgs. n.39/2013</w:t>
            </w:r>
          </w:p>
        </w:tc>
      </w:tr>
      <w:tr w:rsidR="00AA44E7" w:rsidRPr="00D83954" w14:paraId="04CD8BB9" w14:textId="77777777" w:rsidTr="00DF56DF">
        <w:trPr>
          <w:gridAfter w:val="1"/>
          <w:wAfter w:w="126" w:type="dxa"/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0256BCB5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62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54921F74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 effettuazione delle verifiche sulla sussistenza dei requisiti richiesti</w:t>
            </w:r>
          </w:p>
        </w:tc>
      </w:tr>
      <w:tr w:rsidR="00AA44E7" w:rsidRPr="00D83954" w14:paraId="55640D68" w14:textId="77777777" w:rsidTr="00DF56DF">
        <w:trPr>
          <w:gridAfter w:val="1"/>
          <w:wAfter w:w="126" w:type="dxa"/>
          <w:trHeight w:val="295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C75F5DF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63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346658A9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Risarcimenti non dovuti od incrementati</w:t>
            </w:r>
          </w:p>
        </w:tc>
      </w:tr>
      <w:tr w:rsidR="00AA44E7" w:rsidRPr="00D83954" w14:paraId="25E1355E" w14:textId="77777777" w:rsidTr="00DF56DF">
        <w:trPr>
          <w:gridAfter w:val="1"/>
          <w:wAfter w:w="126" w:type="dxa"/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A632997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64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493F8BC1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Non proporzionata ripartizione delle reciproche concessioni</w:t>
            </w:r>
          </w:p>
        </w:tc>
      </w:tr>
      <w:tr w:rsidR="00AA44E7" w:rsidRPr="00D83954" w14:paraId="288D0A31" w14:textId="77777777" w:rsidTr="00DF56DF">
        <w:trPr>
          <w:gridAfter w:val="1"/>
          <w:wAfter w:w="126" w:type="dxa"/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BC93136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65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0071CB33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Scelta o maggior consumo del suolo finalizzati a procurare un indebito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vantaggio ai destinatari del provvedimento</w:t>
            </w:r>
          </w:p>
        </w:tc>
      </w:tr>
      <w:tr w:rsidR="00AA44E7" w:rsidRPr="00D83954" w14:paraId="2A7A200F" w14:textId="77777777" w:rsidTr="00DF56DF">
        <w:trPr>
          <w:gridAfter w:val="1"/>
          <w:wAfter w:w="126" w:type="dxa"/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5CCC927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66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5C4DA9DB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Disparità di trattamento tra diversi proprietari dei suoli</w:t>
            </w:r>
          </w:p>
        </w:tc>
      </w:tr>
      <w:tr w:rsidR="00AA44E7" w:rsidRPr="00D83954" w14:paraId="04BEB7F9" w14:textId="77777777" w:rsidTr="00DF56DF">
        <w:trPr>
          <w:gridAfter w:val="1"/>
          <w:wAfter w:w="126" w:type="dxa"/>
          <w:trHeight w:val="760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A2CAFB3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67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0F5D2E1D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Possibili asimmetrie informative grazie alle quali gruppi di interessi o privati proprietari vengono agevolati nella conoscenza e interpretazione dell’effettivo contenuto del piano adottato, con la possibilità di orientare e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condizionare le scelte dall’esterno</w:t>
            </w:r>
          </w:p>
        </w:tc>
      </w:tr>
      <w:tr w:rsidR="00AA44E7" w:rsidRPr="00D83954" w14:paraId="4800627D" w14:textId="77777777" w:rsidTr="00DF56DF">
        <w:trPr>
          <w:gridAfter w:val="1"/>
          <w:wAfter w:w="126" w:type="dxa"/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3A49018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68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7B38AAE1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Accoglimento di osservazioni che risultino in contrasto con gli obiettivi generali di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tutela e razionale assetto del territorio</w:t>
            </w:r>
          </w:p>
        </w:tc>
      </w:tr>
      <w:tr w:rsidR="00AA44E7" w:rsidRPr="00D83954" w14:paraId="3F55A99F" w14:textId="77777777" w:rsidTr="00DF56DF">
        <w:trPr>
          <w:gridAfter w:val="1"/>
          <w:wAfter w:w="126" w:type="dxa"/>
          <w:trHeight w:val="640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1CF2CDA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69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13F88010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 coerenza con lo strumento urbanistico generale con conseguente uso improprio del suolo e delle risorse naturali</w:t>
            </w:r>
          </w:p>
        </w:tc>
      </w:tr>
      <w:tr w:rsidR="00AA44E7" w:rsidRPr="00D83954" w14:paraId="11955640" w14:textId="77777777" w:rsidTr="00DF56DF">
        <w:trPr>
          <w:gridAfter w:val="1"/>
          <w:wAfter w:w="126" w:type="dxa"/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459215C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70</w:t>
            </w:r>
          </w:p>
        </w:tc>
        <w:tc>
          <w:tcPr>
            <w:tcW w:w="7670" w:type="dxa"/>
            <w:tcBorders>
              <w:right w:val="single" w:sz="4" w:space="0" w:color="000000"/>
            </w:tcBorders>
            <w:vAlign w:val="center"/>
          </w:tcPr>
          <w:p w14:paraId="7A61B623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Convenzione non sufficientemente dettagliata al fine di rendere non chiari e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definiti gli obblighi assunti dal soggetto attuatore</w:t>
            </w:r>
          </w:p>
        </w:tc>
      </w:tr>
      <w:tr w:rsidR="00AA44E7" w:rsidRPr="00D83954" w14:paraId="2F6595ED" w14:textId="77777777" w:rsidTr="00DF56DF">
        <w:trPr>
          <w:gridAfter w:val="1"/>
          <w:wAfter w:w="126" w:type="dxa"/>
          <w:trHeight w:val="486"/>
        </w:trPr>
        <w:tc>
          <w:tcPr>
            <w:tcW w:w="1443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291AA0B4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71</w:t>
            </w:r>
          </w:p>
        </w:tc>
        <w:tc>
          <w:tcPr>
            <w:tcW w:w="7670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7D93EFDB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Non corretta commisurazione degli oneri dovuti in difetto o in eccesso al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fine di favorire eventuali soggetti interessati</w:t>
            </w:r>
          </w:p>
        </w:tc>
      </w:tr>
      <w:tr w:rsidR="00AA44E7" w:rsidRPr="00D83954" w14:paraId="7DDB2D26" w14:textId="77777777" w:rsidTr="00DF56DF">
        <w:trPr>
          <w:gridAfter w:val="1"/>
          <w:wAfter w:w="126" w:type="dxa"/>
          <w:trHeight w:val="489"/>
        </w:trPr>
        <w:tc>
          <w:tcPr>
            <w:tcW w:w="1443" w:type="dxa"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14:paraId="67357831" w14:textId="77777777" w:rsidR="00AA44E7" w:rsidRPr="00220AD2" w:rsidRDefault="008D268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72</w:t>
            </w:r>
          </w:p>
        </w:tc>
        <w:tc>
          <w:tcPr>
            <w:tcW w:w="7670" w:type="dxa"/>
            <w:tcBorders>
              <w:left w:val="dotted" w:sz="4" w:space="0" w:color="000000"/>
              <w:right w:val="single" w:sz="4" w:space="0" w:color="000000"/>
            </w:tcBorders>
            <w:vAlign w:val="center"/>
          </w:tcPr>
          <w:p w14:paraId="0950DA81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Individuazione di un’opera come prioritaria, laddove essa, invece, sia a</w:t>
            </w:r>
            <w:r w:rsidR="00DF56DF"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beneficio esclusivo o prevalente dell’operatore privato</w:t>
            </w:r>
          </w:p>
        </w:tc>
      </w:tr>
      <w:tr w:rsidR="00DF56DF" w:rsidRPr="00DF56DF" w14:paraId="764CF35A" w14:textId="77777777" w:rsidTr="00DF56DF">
        <w:trPr>
          <w:trHeight w:val="171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C60040A" w14:textId="77777777" w:rsidR="00DF56DF" w:rsidRPr="00220AD2" w:rsidRDefault="00DF56DF" w:rsidP="00DF56DF">
            <w:pPr>
              <w:pStyle w:val="TableParagraph"/>
              <w:ind w:left="0"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73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6A87C993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Sovrastima del valore delle opere di urbanizzazione da realizzare a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scomputo</w:t>
            </w:r>
          </w:p>
        </w:tc>
      </w:tr>
      <w:tr w:rsidR="00DF56DF" w:rsidRPr="00DF56DF" w14:paraId="27D5DE2B" w14:textId="77777777" w:rsidTr="00DF56DF">
        <w:trPr>
          <w:trHeight w:val="4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0120B391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74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5E957C7E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Errata determinazione della quantità di aree da cedere</w:t>
            </w:r>
          </w:p>
        </w:tc>
      </w:tr>
      <w:tr w:rsidR="00DF56DF" w:rsidRPr="00DF56DF" w14:paraId="4C835FF8" w14:textId="77777777" w:rsidTr="00DF56DF">
        <w:trPr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2B8E83E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75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1AB27D73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Elusione dei corretti rapporti tra spazi destinati agli insediamenti residenziali o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produttivi e spazi a destinazione pubblica.</w:t>
            </w:r>
          </w:p>
        </w:tc>
      </w:tr>
      <w:tr w:rsidR="00DF56DF" w:rsidRPr="00DF56DF" w14:paraId="0EF801C2" w14:textId="77777777" w:rsidTr="00DF56DF">
        <w:trPr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70599F6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76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5CF06FA5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Realizzazione opere quantitativamente e qualitativamente di minor pregio rispetto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a quanto dedotto in convenzione</w:t>
            </w:r>
          </w:p>
        </w:tc>
      </w:tr>
      <w:tr w:rsidR="00DF56DF" w:rsidRPr="00DF56DF" w14:paraId="0779C682" w14:textId="77777777" w:rsidTr="00DF56DF">
        <w:trPr>
          <w:trHeight w:val="281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B6829C5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77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4617508B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Sproporzione fra beneficio pubblico e privato</w:t>
            </w:r>
          </w:p>
        </w:tc>
      </w:tr>
      <w:tr w:rsidR="00DF56DF" w:rsidRPr="00DF56DF" w14:paraId="68A14961" w14:textId="77777777" w:rsidTr="00DF56DF">
        <w:trPr>
          <w:trHeight w:val="270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5C10CD1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78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3A15927B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Disomogeneità delle valutazioni</w:t>
            </w:r>
          </w:p>
        </w:tc>
      </w:tr>
      <w:tr w:rsidR="00DF56DF" w:rsidRPr="00DF56DF" w14:paraId="23E04F7B" w14:textId="77777777" w:rsidTr="00DF56DF">
        <w:trPr>
          <w:trHeight w:val="261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0E890022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79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38D6CF6D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Non rispetto delle scadenze temporali</w:t>
            </w:r>
          </w:p>
        </w:tc>
      </w:tr>
      <w:tr w:rsidR="00DF56DF" w:rsidRPr="00DF56DF" w14:paraId="765B647C" w14:textId="77777777" w:rsidTr="00DF56DF">
        <w:trPr>
          <w:trHeight w:val="423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6F55F514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80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4FA7E079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Non rispetto della cronologia nella presentazione delle istanze</w:t>
            </w:r>
          </w:p>
        </w:tc>
      </w:tr>
      <w:tr w:rsidR="00DF56DF" w:rsidRPr="00DF56DF" w14:paraId="3D6B7DD9" w14:textId="77777777" w:rsidTr="00DF56DF">
        <w:trPr>
          <w:trHeight w:val="48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B2AE3C8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81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  <w:vAlign w:val="center"/>
          </w:tcPr>
          <w:p w14:paraId="27713784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Istruttoria assegnata a personale dipendente in rapporto di contiguità con i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professionisti o con aventi titolo al fine di orientare le decisioni edilizie</w:t>
            </w:r>
          </w:p>
        </w:tc>
      </w:tr>
      <w:tr w:rsidR="00DF56DF" w:rsidRPr="00220AD2" w14:paraId="08F97FD3" w14:textId="77777777" w:rsidTr="00DF56DF">
        <w:trPr>
          <w:trHeight w:val="349"/>
        </w:trPr>
        <w:tc>
          <w:tcPr>
            <w:tcW w:w="1443" w:type="dxa"/>
            <w:tcBorders>
              <w:left w:val="single" w:sz="4" w:space="0" w:color="000000"/>
            </w:tcBorders>
          </w:tcPr>
          <w:p w14:paraId="5FC7BED4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82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</w:tcPr>
          <w:p w14:paraId="0CF0B26C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Richiesta di integrazioni documentali effettuata al fine di ottenere indebiti vantaggi</w:t>
            </w:r>
          </w:p>
        </w:tc>
      </w:tr>
      <w:tr w:rsidR="00DF56DF" w:rsidRPr="00220AD2" w14:paraId="43B74847" w14:textId="77777777" w:rsidTr="00DF56DF">
        <w:trPr>
          <w:trHeight w:val="271"/>
        </w:trPr>
        <w:tc>
          <w:tcPr>
            <w:tcW w:w="1443" w:type="dxa"/>
            <w:tcBorders>
              <w:left w:val="single" w:sz="4" w:space="0" w:color="000000"/>
            </w:tcBorders>
          </w:tcPr>
          <w:p w14:paraId="66A98A08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83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</w:tcPr>
          <w:p w14:paraId="11214095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Errato calcolo del contributo di costruzione al fine di ottenere indebiti vantaggi</w:t>
            </w:r>
          </w:p>
        </w:tc>
      </w:tr>
      <w:tr w:rsidR="00DF56DF" w:rsidRPr="00220AD2" w14:paraId="3F228B74" w14:textId="77777777" w:rsidTr="00DF56DF">
        <w:trPr>
          <w:trHeight w:val="272"/>
        </w:trPr>
        <w:tc>
          <w:tcPr>
            <w:tcW w:w="1443" w:type="dxa"/>
            <w:tcBorders>
              <w:left w:val="single" w:sz="4" w:space="0" w:color="000000"/>
            </w:tcBorders>
          </w:tcPr>
          <w:p w14:paraId="695CB5D0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84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</w:tcPr>
          <w:p w14:paraId="24B7ED97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Errata applicazione normativa in merito all’iscrizione cittadini stranieri e</w:t>
            </w:r>
            <w:r>
              <w:rPr>
                <w:sz w:val="20"/>
                <w:lang w:val="it-IT"/>
              </w:rPr>
              <w:t xml:space="preserve"> </w:t>
            </w:r>
            <w:r w:rsidRPr="00220AD2">
              <w:rPr>
                <w:sz w:val="20"/>
                <w:lang w:val="it-IT"/>
              </w:rPr>
              <w:t>comunitari</w:t>
            </w:r>
          </w:p>
        </w:tc>
      </w:tr>
      <w:tr w:rsidR="00DF56DF" w:rsidRPr="00220AD2" w14:paraId="3E28B7C6" w14:textId="77777777" w:rsidTr="00DF56DF">
        <w:trPr>
          <w:trHeight w:val="263"/>
        </w:trPr>
        <w:tc>
          <w:tcPr>
            <w:tcW w:w="1443" w:type="dxa"/>
            <w:tcBorders>
              <w:left w:val="single" w:sz="4" w:space="0" w:color="000000"/>
            </w:tcBorders>
          </w:tcPr>
          <w:p w14:paraId="2B4CB390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85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</w:tcPr>
          <w:p w14:paraId="38916DA9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Ingiustificata dilazione dei tempi</w:t>
            </w:r>
          </w:p>
        </w:tc>
      </w:tr>
      <w:tr w:rsidR="00DF56DF" w:rsidRPr="00220AD2" w14:paraId="1EC383A4" w14:textId="77777777" w:rsidTr="00DF56DF">
        <w:trPr>
          <w:trHeight w:val="280"/>
        </w:trPr>
        <w:tc>
          <w:tcPr>
            <w:tcW w:w="1443" w:type="dxa"/>
            <w:tcBorders>
              <w:left w:val="single" w:sz="4" w:space="0" w:color="000000"/>
            </w:tcBorders>
          </w:tcPr>
          <w:p w14:paraId="3B1EF66E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86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</w:tcPr>
          <w:p w14:paraId="2DE0A916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Riconosciuta emigrazione all’estero a non aventi titolo</w:t>
            </w:r>
          </w:p>
        </w:tc>
      </w:tr>
      <w:tr w:rsidR="00DF56DF" w:rsidRPr="00220AD2" w14:paraId="6166464B" w14:textId="77777777" w:rsidTr="00DF56DF">
        <w:trPr>
          <w:trHeight w:val="271"/>
        </w:trPr>
        <w:tc>
          <w:tcPr>
            <w:tcW w:w="1443" w:type="dxa"/>
            <w:tcBorders>
              <w:left w:val="single" w:sz="4" w:space="0" w:color="000000"/>
            </w:tcBorders>
          </w:tcPr>
          <w:p w14:paraId="4D9DEB77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87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</w:tcPr>
          <w:p w14:paraId="3E5F199C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Rilascio a non aventi diritto o senza procedura di identificazione</w:t>
            </w:r>
          </w:p>
        </w:tc>
      </w:tr>
      <w:tr w:rsidR="00DF56DF" w:rsidRPr="00220AD2" w14:paraId="42999838" w14:textId="77777777" w:rsidTr="00DF56DF">
        <w:trPr>
          <w:trHeight w:val="274"/>
        </w:trPr>
        <w:tc>
          <w:tcPr>
            <w:tcW w:w="1443" w:type="dxa"/>
            <w:tcBorders>
              <w:left w:val="single" w:sz="4" w:space="0" w:color="000000"/>
            </w:tcBorders>
          </w:tcPr>
          <w:p w14:paraId="2BA3962C" w14:textId="77777777" w:rsidR="00DF56DF" w:rsidRPr="00220AD2" w:rsidRDefault="00DF56D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88</w:t>
            </w:r>
          </w:p>
        </w:tc>
        <w:tc>
          <w:tcPr>
            <w:tcW w:w="7796" w:type="dxa"/>
            <w:gridSpan w:val="2"/>
            <w:tcBorders>
              <w:right w:val="single" w:sz="4" w:space="0" w:color="000000"/>
            </w:tcBorders>
          </w:tcPr>
          <w:p w14:paraId="3DC4D12E" w14:textId="77777777" w:rsidR="00DF56DF" w:rsidRPr="00220AD2" w:rsidRDefault="00DF56D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 o scorretta applicazione dei requisiti</w:t>
            </w:r>
          </w:p>
        </w:tc>
      </w:tr>
    </w:tbl>
    <w:p w14:paraId="19717343" w14:textId="77777777" w:rsidR="00AA44E7" w:rsidRPr="00220AD2" w:rsidRDefault="00AA44E7" w:rsidP="00220AD2">
      <w:pPr>
        <w:ind w:right="279"/>
        <w:rPr>
          <w:sz w:val="20"/>
          <w:lang w:val="it-IT"/>
        </w:rPr>
        <w:sectPr w:rsidR="00AA44E7" w:rsidRPr="00220AD2" w:rsidSect="00220AD2">
          <w:pgSz w:w="11910" w:h="16840"/>
          <w:pgMar w:top="1660" w:right="853" w:bottom="900" w:left="1280" w:header="748" w:footer="713" w:gutter="0"/>
          <w:cols w:space="720"/>
        </w:sectPr>
      </w:pPr>
    </w:p>
    <w:p w14:paraId="305F9FCB" w14:textId="77777777" w:rsidR="00AA44E7" w:rsidRPr="00220AD2" w:rsidRDefault="00AA44E7" w:rsidP="00220AD2">
      <w:pPr>
        <w:pStyle w:val="Corpotesto"/>
        <w:spacing w:before="0"/>
        <w:ind w:right="279"/>
        <w:rPr>
          <w:rFonts w:ascii="Times New Roman"/>
          <w:sz w:val="2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796"/>
      </w:tblGrid>
      <w:tr w:rsidR="00AA44E7" w:rsidRPr="00220AD2" w14:paraId="4F61E4AD" w14:textId="77777777" w:rsidTr="00DF56DF">
        <w:trPr>
          <w:trHeight w:val="250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F81E90A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89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15D60A9D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Ingiustificata dilazione dei tempi</w:t>
            </w:r>
          </w:p>
        </w:tc>
      </w:tr>
      <w:tr w:rsidR="00AA44E7" w:rsidRPr="00220AD2" w14:paraId="22D4086A" w14:textId="77777777" w:rsidTr="00DF56DF">
        <w:trPr>
          <w:trHeight w:val="267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98EB129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90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722F7CCF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Rilevazioni non corrispondenti alla realtà dei fatti</w:t>
            </w:r>
          </w:p>
        </w:tc>
      </w:tr>
      <w:tr w:rsidR="00AA44E7" w:rsidRPr="00220AD2" w14:paraId="404FDC2C" w14:textId="77777777" w:rsidTr="00DF56DF">
        <w:trPr>
          <w:trHeight w:val="28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3B537DAF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91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0D097EBD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Indebito rilascio di certificazioni</w:t>
            </w:r>
          </w:p>
        </w:tc>
      </w:tr>
      <w:tr w:rsidR="00AA44E7" w:rsidRPr="00220AD2" w14:paraId="15DB9BAE" w14:textId="77777777" w:rsidTr="00DF56DF">
        <w:trPr>
          <w:trHeight w:val="275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52BE50B6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92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6A2B2FF4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 o scorretta applicazione normativa di riferimento</w:t>
            </w:r>
          </w:p>
        </w:tc>
      </w:tr>
      <w:tr w:rsidR="00AA44E7" w:rsidRPr="00220AD2" w14:paraId="1F0208B8" w14:textId="77777777" w:rsidTr="00DF56DF">
        <w:trPr>
          <w:trHeight w:val="266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4F0153D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93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296B9363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Ingiustificata dilazione dei tempi</w:t>
            </w:r>
          </w:p>
        </w:tc>
      </w:tr>
      <w:tr w:rsidR="00AA44E7" w:rsidRPr="00220AD2" w14:paraId="1AC7B782" w14:textId="77777777" w:rsidTr="00DF56DF">
        <w:trPr>
          <w:trHeight w:val="283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C1546D3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94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474AC72C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Iscrizione di soggetto privo dei requisiti previsti dalla normativa</w:t>
            </w:r>
          </w:p>
        </w:tc>
      </w:tr>
      <w:tr w:rsidR="00AA44E7" w:rsidRPr="00220AD2" w14:paraId="0357857B" w14:textId="77777777" w:rsidTr="00DF56DF">
        <w:trPr>
          <w:trHeight w:val="259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7AD7A581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95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3DF5374E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Omesso controllo firme dei sottoscrittori di lista</w:t>
            </w:r>
          </w:p>
        </w:tc>
      </w:tr>
      <w:tr w:rsidR="00AA44E7" w:rsidRPr="00220AD2" w14:paraId="34363E4B" w14:textId="77777777" w:rsidTr="00DF56DF">
        <w:trPr>
          <w:trHeight w:val="277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4FA86080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96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098AFDC6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Omesso aggiornamento</w:t>
            </w:r>
          </w:p>
        </w:tc>
      </w:tr>
      <w:tr w:rsidR="00AA44E7" w:rsidRPr="00220AD2" w14:paraId="14479A43" w14:textId="77777777" w:rsidTr="00DF56DF">
        <w:trPr>
          <w:trHeight w:val="281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200080EA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97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4E5E574A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Omessa/falsa/ritardata registrazione del documento</w:t>
            </w:r>
          </w:p>
        </w:tc>
      </w:tr>
      <w:tr w:rsidR="00AA44E7" w:rsidRPr="00220AD2" w14:paraId="760B458C" w14:textId="77777777" w:rsidTr="00DF56DF">
        <w:trPr>
          <w:trHeight w:val="270"/>
        </w:trPr>
        <w:tc>
          <w:tcPr>
            <w:tcW w:w="1443" w:type="dxa"/>
            <w:tcBorders>
              <w:left w:val="single" w:sz="4" w:space="0" w:color="000000"/>
            </w:tcBorders>
            <w:vAlign w:val="center"/>
          </w:tcPr>
          <w:p w14:paraId="19F5B0CB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99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vAlign w:val="center"/>
          </w:tcPr>
          <w:p w14:paraId="018C14EC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Mancata/ritardata convocazione</w:t>
            </w:r>
          </w:p>
        </w:tc>
      </w:tr>
      <w:tr w:rsidR="00AA44E7" w:rsidRPr="00220AD2" w14:paraId="12EA273C" w14:textId="77777777" w:rsidTr="00D83954">
        <w:trPr>
          <w:trHeight w:val="275"/>
        </w:trPr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80552" w14:textId="77777777" w:rsidR="00AA44E7" w:rsidRPr="00220AD2" w:rsidRDefault="008D268F" w:rsidP="00DF56DF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100</w:t>
            </w: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0EABC" w14:textId="77777777" w:rsidR="00AA44E7" w:rsidRPr="00220AD2" w:rsidRDefault="008D268F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Violazione norme procedurali</w:t>
            </w:r>
          </w:p>
        </w:tc>
      </w:tr>
      <w:tr w:rsidR="00D83954" w:rsidRPr="00220AD2" w14:paraId="19369437" w14:textId="77777777" w:rsidTr="00D83954">
        <w:trPr>
          <w:trHeight w:val="278"/>
        </w:trPr>
        <w:tc>
          <w:tcPr>
            <w:tcW w:w="1443" w:type="dxa"/>
            <w:tcBorders>
              <w:left w:val="single" w:sz="4" w:space="0" w:color="000000"/>
            </w:tcBorders>
          </w:tcPr>
          <w:p w14:paraId="3BEFE2DE" w14:textId="77777777" w:rsidR="00D83954" w:rsidRPr="00220AD2" w:rsidRDefault="00D83954" w:rsidP="00D83954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D83954">
              <w:rPr>
                <w:sz w:val="20"/>
                <w:lang w:val="it-IT"/>
              </w:rPr>
              <w:t>101</w:t>
            </w:r>
          </w:p>
        </w:tc>
        <w:tc>
          <w:tcPr>
            <w:tcW w:w="7796" w:type="dxa"/>
            <w:tcBorders>
              <w:right w:val="single" w:sz="4" w:space="0" w:color="000000"/>
            </w:tcBorders>
          </w:tcPr>
          <w:p w14:paraId="7CDF2FB8" w14:textId="77777777" w:rsidR="00D83954" w:rsidRPr="00220AD2" w:rsidRDefault="00D83954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Verbalizzazione non corretta</w:t>
            </w:r>
          </w:p>
        </w:tc>
      </w:tr>
      <w:tr w:rsidR="00D83954" w:rsidRPr="00220AD2" w14:paraId="4F2FB377" w14:textId="77777777" w:rsidTr="00D83954">
        <w:trPr>
          <w:trHeight w:val="269"/>
        </w:trPr>
        <w:tc>
          <w:tcPr>
            <w:tcW w:w="1443" w:type="dxa"/>
            <w:tcBorders>
              <w:left w:val="single" w:sz="4" w:space="0" w:color="000000"/>
            </w:tcBorders>
          </w:tcPr>
          <w:p w14:paraId="5DE0CAE2" w14:textId="77777777" w:rsidR="00D83954" w:rsidRPr="00220AD2" w:rsidRDefault="00D83954" w:rsidP="00D83954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D83954">
              <w:rPr>
                <w:sz w:val="20"/>
                <w:lang w:val="it-IT"/>
              </w:rPr>
              <w:t>102</w:t>
            </w:r>
          </w:p>
        </w:tc>
        <w:tc>
          <w:tcPr>
            <w:tcW w:w="7796" w:type="dxa"/>
            <w:tcBorders>
              <w:right w:val="single" w:sz="4" w:space="0" w:color="000000"/>
            </w:tcBorders>
          </w:tcPr>
          <w:p w14:paraId="13D43631" w14:textId="77777777" w:rsidR="00D83954" w:rsidRPr="00220AD2" w:rsidRDefault="00D83954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Ritardata pubblicazione</w:t>
            </w:r>
          </w:p>
        </w:tc>
      </w:tr>
      <w:tr w:rsidR="00D83954" w:rsidRPr="00220AD2" w14:paraId="386A9DA4" w14:textId="77777777" w:rsidTr="00D83954">
        <w:trPr>
          <w:trHeight w:val="249"/>
        </w:trPr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14:paraId="7404C8E0" w14:textId="77777777" w:rsidR="00D83954" w:rsidRPr="00220AD2" w:rsidRDefault="00D83954" w:rsidP="00D83954">
            <w:pPr>
              <w:pStyle w:val="TableParagraph"/>
              <w:ind w:right="279"/>
              <w:jc w:val="center"/>
              <w:rPr>
                <w:sz w:val="20"/>
                <w:lang w:val="it-IT"/>
              </w:rPr>
            </w:pPr>
            <w:r w:rsidRPr="00D83954">
              <w:rPr>
                <w:sz w:val="20"/>
                <w:lang w:val="it-IT"/>
              </w:rPr>
              <w:t>103</w:t>
            </w:r>
          </w:p>
        </w:tc>
        <w:tc>
          <w:tcPr>
            <w:tcW w:w="7796" w:type="dxa"/>
            <w:tcBorders>
              <w:bottom w:val="single" w:sz="4" w:space="0" w:color="000000"/>
              <w:right w:val="single" w:sz="4" w:space="0" w:color="000000"/>
            </w:tcBorders>
          </w:tcPr>
          <w:p w14:paraId="769B21BF" w14:textId="77777777" w:rsidR="00D83954" w:rsidRPr="00220AD2" w:rsidRDefault="00D83954" w:rsidP="00D83954">
            <w:pPr>
              <w:pStyle w:val="TableParagraph"/>
              <w:keepLines/>
              <w:widowControl/>
              <w:ind w:left="142" w:right="278"/>
              <w:rPr>
                <w:sz w:val="20"/>
                <w:lang w:val="it-IT"/>
              </w:rPr>
            </w:pPr>
            <w:r w:rsidRPr="00220AD2">
              <w:rPr>
                <w:sz w:val="20"/>
                <w:lang w:val="it-IT"/>
              </w:rPr>
              <w:t>Scorretta applicazione normativa</w:t>
            </w:r>
          </w:p>
        </w:tc>
      </w:tr>
    </w:tbl>
    <w:p w14:paraId="26AAA4C6" w14:textId="77777777" w:rsidR="00ED2A4F" w:rsidRPr="00220AD2" w:rsidRDefault="00ED2A4F" w:rsidP="00D83954">
      <w:pPr>
        <w:ind w:right="279"/>
        <w:rPr>
          <w:lang w:val="it-IT"/>
        </w:rPr>
      </w:pPr>
    </w:p>
    <w:sectPr w:rsidR="00ED2A4F" w:rsidRPr="00220AD2" w:rsidSect="00220AD2">
      <w:pgSz w:w="11910" w:h="16840"/>
      <w:pgMar w:top="1660" w:right="853" w:bottom="900" w:left="1280" w:header="74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5170" w14:textId="77777777" w:rsidR="007F43EB" w:rsidRDefault="007F43EB">
      <w:r>
        <w:separator/>
      </w:r>
    </w:p>
  </w:endnote>
  <w:endnote w:type="continuationSeparator" w:id="0">
    <w:p w14:paraId="5214755E" w14:textId="77777777" w:rsidR="007F43EB" w:rsidRDefault="007F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1579" w14:textId="77777777" w:rsidR="00AA44E7" w:rsidRDefault="008D268F">
    <w:pPr>
      <w:pStyle w:val="Corpotesto"/>
      <w:spacing w:before="0"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0910720" behindDoc="1" locked="0" layoutInCell="1" allowOverlap="1" wp14:anchorId="5EF04DEB" wp14:editId="43EA0F61">
              <wp:simplePos x="0" y="0"/>
              <wp:positionH relativeFrom="page">
                <wp:posOffset>3492500</wp:posOffset>
              </wp:positionH>
              <wp:positionV relativeFrom="page">
                <wp:posOffset>10100310</wp:posOffset>
              </wp:positionV>
              <wp:extent cx="37274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CE25F" w14:textId="77777777" w:rsidR="00AA44E7" w:rsidRDefault="008D268F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C95">
                            <w:rPr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04D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pt;margin-top:795.3pt;width:29.35pt;height:12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dS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" filled="f" stroked="f">
              <v:textbox inset="0,0,0,0">
                <w:txbxContent>
                  <w:p w14:paraId="055CE25F" w14:textId="77777777" w:rsidR="00AA44E7" w:rsidRDefault="008D268F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C95">
                      <w:rPr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8761" w14:textId="77777777" w:rsidR="007F43EB" w:rsidRDefault="007F43EB">
      <w:r>
        <w:separator/>
      </w:r>
    </w:p>
  </w:footnote>
  <w:footnote w:type="continuationSeparator" w:id="0">
    <w:p w14:paraId="468168AD" w14:textId="77777777" w:rsidR="007F43EB" w:rsidRDefault="007F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D4C8" w14:textId="3BEF677F" w:rsidR="00C606B7" w:rsidRPr="00C606B7" w:rsidRDefault="00C606B7" w:rsidP="00C606B7">
    <w:pPr>
      <w:pStyle w:val="Intestazione"/>
      <w:jc w:val="center"/>
      <w:rPr>
        <w:b/>
        <w:bCs/>
      </w:rPr>
    </w:pPr>
    <w:r w:rsidRPr="00C606B7">
      <w:rPr>
        <w:b/>
        <w:bCs/>
      </w:rPr>
      <w:t xml:space="preserve">Comune di </w:t>
    </w:r>
    <w:r w:rsidR="003934E3">
      <w:rPr>
        <w:b/>
        <w:bCs/>
      </w:rPr>
      <w:t>Sernaglia della Battaglia</w:t>
    </w:r>
  </w:p>
  <w:p w14:paraId="12D32D1F" w14:textId="77777777" w:rsidR="00C606B7" w:rsidRPr="00C606B7" w:rsidRDefault="00C606B7" w:rsidP="00C606B7">
    <w:pPr>
      <w:pStyle w:val="Intestazione"/>
      <w:jc w:val="center"/>
      <w:rPr>
        <w:b/>
        <w:bCs/>
      </w:rPr>
    </w:pPr>
    <w:r w:rsidRPr="00C606B7">
      <w:rPr>
        <w:b/>
        <w:bCs/>
      </w:rPr>
      <w:t>Piano triennale di prevenzione della corruzione e della trasparenza Triennio 2021 – 2023</w:t>
    </w:r>
  </w:p>
  <w:p w14:paraId="23F45170" w14:textId="6C5EFB14" w:rsidR="00C606B7" w:rsidRPr="00C606B7" w:rsidRDefault="00C606B7" w:rsidP="00C606B7">
    <w:pPr>
      <w:pStyle w:val="Intestazione"/>
      <w:jc w:val="center"/>
      <w:rPr>
        <w:b/>
        <w:bCs/>
      </w:rPr>
    </w:pPr>
    <w:r w:rsidRPr="00C606B7">
      <w:rPr>
        <w:b/>
        <w:bCs/>
      </w:rPr>
      <w:t>Tavola Allegato 3 - Registro degli eventi rischiosi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7"/>
    <w:rsid w:val="00220AD2"/>
    <w:rsid w:val="00375ABC"/>
    <w:rsid w:val="00386C95"/>
    <w:rsid w:val="003934E3"/>
    <w:rsid w:val="003952C6"/>
    <w:rsid w:val="00413AC4"/>
    <w:rsid w:val="006602AF"/>
    <w:rsid w:val="007F43EB"/>
    <w:rsid w:val="008800F9"/>
    <w:rsid w:val="008D268F"/>
    <w:rsid w:val="00943B00"/>
    <w:rsid w:val="00AA44E7"/>
    <w:rsid w:val="00BD5A29"/>
    <w:rsid w:val="00C606B7"/>
    <w:rsid w:val="00CE6971"/>
    <w:rsid w:val="00D83954"/>
    <w:rsid w:val="00DF3BF4"/>
    <w:rsid w:val="00DF56DF"/>
    <w:rsid w:val="00E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B198B"/>
  <w15:docId w15:val="{CA7129CF-A7D0-4428-82E0-C062FD8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8"/>
    </w:pPr>
  </w:style>
  <w:style w:type="paragraph" w:styleId="Intestazione">
    <w:name w:val="header"/>
    <w:basedOn w:val="Normale"/>
    <w:link w:val="IntestazioneCarattere"/>
    <w:uiPriority w:val="99"/>
    <w:unhideWhenUsed/>
    <w:rsid w:val="00220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AD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20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AD2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5A2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- 317_957_allegati_Tavola-Allegato-3---Registro-degli-eventi-rischiosi-def-Daniela.doc</vt:lpstr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- 317_957_allegati_Tavola-Allegato-3---Registro-degli-eventi-rischiosi-def-Daniela.doc</dc:title>
  <dc:creator>User</dc:creator>
  <cp:lastModifiedBy>Cristina Marnagon / Comune di Sernaglia della Battaglia</cp:lastModifiedBy>
  <cp:revision>2</cp:revision>
  <dcterms:created xsi:type="dcterms:W3CDTF">2021-05-20T12:35:00Z</dcterms:created>
  <dcterms:modified xsi:type="dcterms:W3CDTF">2021-05-20T12:35:00Z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2021-03-11T00:00:00Z</vt:filetime>
  </property>
</Properties>
</file>